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2C" w:rsidRPr="00C32E2C" w:rsidRDefault="00C32E2C" w:rsidP="00C32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F0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b/>
          <w:bCs/>
          <w:sz w:val="28"/>
          <w:szCs w:val="28"/>
        </w:rPr>
        <w:t>МАЯК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ПОСТАНОВЛЕНИЕ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4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от </w:t>
      </w:r>
      <w:r w:rsidR="00574475">
        <w:rPr>
          <w:rFonts w:ascii="Times New Roman" w:eastAsia="Times New Roman" w:hAnsi="Times New Roman" w:cs="Times New Roman"/>
          <w:b/>
          <w:bCs/>
          <w:sz w:val="28"/>
          <w:szCs w:val="28"/>
        </w:rPr>
        <w:t>01.04.2022 г.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574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№ 14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B354C5">
        <w:rPr>
          <w:rFonts w:ascii="Times New Roman" w:eastAsia="Times New Roman" w:hAnsi="Times New Roman" w:cs="Times New Roman"/>
          <w:bCs/>
          <w:sz w:val="20"/>
          <w:szCs w:val="20"/>
        </w:rPr>
        <w:t>п. Маяк</w:t>
      </w:r>
      <w:proofErr w:type="gramStart"/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</w:t>
      </w:r>
      <w:proofErr w:type="gramEnd"/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b/>
          <w:bCs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0033" w:rsidRDefault="00C32E2C" w:rsidP="0057447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На основании </w:t>
      </w:r>
      <w:hyperlink r:id="rId6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 октября 2003 г. N131-ФЗ "Об общих принципах организации местного самоуправления в Российской Федерации"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>, в соответствии со </w:t>
      </w:r>
      <w:hyperlink r:id="rId7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статьей 353.1 Трудового кодекса Российской Федерации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законом </w:t>
        </w:r>
        <w:r w:rsidR="00084782" w:rsidRPr="00084782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 от 11 декабря 2018 г. № 3905-К</w:t>
        </w:r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З "О ведомственном контроле за соблюдением трудового законодательства и иных нормативных правовых актов, содер</w:t>
        </w:r>
        <w:r w:rsidR="00084782">
          <w:rPr>
            <w:rFonts w:ascii="Times New Roman" w:eastAsia="Times New Roman" w:hAnsi="Times New Roman" w:cs="Times New Roman"/>
            <w:sz w:val="28"/>
            <w:szCs w:val="28"/>
          </w:rPr>
          <w:t>жащих нормы трудового права, в Краснодарском крае</w:t>
        </w:r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ского сельского</w:t>
      </w:r>
      <w:proofErr w:type="gramEnd"/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08478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7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ведомственном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бщему о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тделу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D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569DF" w:rsidRPr="00A569DF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  <w:r w:rsidR="00084782" w:rsidRPr="00A569D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ознакомить руководителей орган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ов и структурных подразделений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координирующих деятельность подведомственных муниципальных учреждений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муниципальных учреждений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с настоящим постановлением.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законодательством,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569DF" w:rsidRDefault="00A569DF" w:rsidP="000847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69DF" w:rsidRPr="00C32E2C" w:rsidRDefault="00A569DF" w:rsidP="000847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84782" w:rsidRDefault="00084782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 w:rsidRPr="00B354C5"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3C8" w:rsidRDefault="00084782" w:rsidP="00A569DF">
      <w:pPr>
        <w:tabs>
          <w:tab w:val="left" w:pos="637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Отрадненского района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B354C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</w:p>
    <w:p w:rsidR="00A569DF" w:rsidRDefault="00A569DF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C32E2C" w:rsidRP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 № _______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ведомственном </w:t>
      </w:r>
      <w:proofErr w:type="gramStart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A273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C32E2C" w:rsidRPr="00A273C8" w:rsidRDefault="00A273C8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</w:t>
      </w:r>
    </w:p>
    <w:p w:rsidR="00C32E2C" w:rsidRP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положение), разработано в целях реализации статьи 353_1 Трудового кодекса Российской Федерации</w:t>
      </w:r>
      <w:r w:rsidRPr="00A273C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history="1"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Закона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от 11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декабря 2018 г. № 3905-КЗ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"О ведомственном контроле за соблюдением трудового законодательства и</w:t>
        </w:r>
        <w:proofErr w:type="gramEnd"/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иных нормативных правовых актов, содержащих нормы трудового права, в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Краснодарском крае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A273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устанавливает порядок и условия осуществления ведомственного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подведомственных ей муниципальных организациях.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2. В настоящем положении используются следующие основные понятия: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1) ведомственный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2) подведомственные муниципальные организации - муниципальные учреждения и предприятия, учредителем которых является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подведомственные организации);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3) уполномоченный орган -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осуществляющая ведомственный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4) должностные лица - должностные лица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осуществляющие ведомственный контроль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3. Ведомственный контроль осуществляется в целях: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C32E2C" w:rsidP="00A569D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предупреждения нарушения прав и законных интерес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принятия мер по восстановлению нарушенных пр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Осуществление ведомственного контроля включает в себя следующие процедуры: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составление ежегодного плана проведения проверок муниципальных учреждений и предприятий, подведомст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календарный год (далее - ежегодный план проверок);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проведение плановых и внеплановых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контроль за устранением нарушений, выявленных по результатам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учет проверок;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составление отчетности о проведенных проверках.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BF0033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II. Предмет и направления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A569D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направлениям ведомственного контроля относятся: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кадры и работа с персоналом;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оплата и нормирование труда;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социальное партнерство;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охрана труда.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III. Порядок и условия осуществления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A569D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Проверки проводятся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распоряжение о проведении проверки) должностными лицами, указанными в данном распоряжении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Подготовка распоряжения о проведении проверки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В распоряжении о проведении проверки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должностные лица, уполномоченные на проведение проверки (Ф.И.О., должность);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цель проверки, вид и форма ее проведения;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на 20 календарных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по направлениям ведомственного контроля, указанным в плане проверок.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контролю.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IV. Организация и проведение 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лан утверждается распоряжением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срок до 10 декабря года, предшествующего году проведения плановых проверок, и разм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ещается на официальном сайте </w:t>
      </w:r>
      <w:proofErr w:type="spellStart"/>
      <w:r w:rsidRPr="00C32E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proofErr w:type="spell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 в течение 10 рабочих дней после дня утверждения ежегодного плана.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ежегодного плана проверок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A569D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Ежегодный план утверждаетс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я по форме согласно приложению 1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 следующие сведения: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форма плановой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срок проведения плановой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Перечень локальных нормативных актов, документов, запрашиваемых при проведении мероприятий по контролю в подведомственных организ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ациях, установлен в приложении 2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О проведении плановой проверки подведомственные организации уведомляются не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V. Организация и проведение внеплановых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A569D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Основаниями к проведению внеплановой проверки являются: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после возникновения оснований, указанных в пункте 1 раздела V настоящего положения,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проведении проверки или об отсутствии оснований к проведению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О проведении внеплановой проверки подведомственная организация уведомляется не менее чем за 24 часа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VI. Порядок оформления результатов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A569D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По результатам проверки должностным лицом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координирующего деятельность проверяемой организации уполномоченным на проведение проверки, составляется акт проверки по форме согласно приложению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дата и место составления акта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фамилии, имена, отчества и должности должностных лиц, проводивших проверку;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окончания, место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К акту проверки прилагаются имеющиеся документы, связанные с результатами проверки, или их копии.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Акт проверки в течение пяти рабочих дней после ее завершения оформляется в двух экземплярах и утверждается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В случае несогласия с актом проверки руководитель подведомственной ор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ганизации вправе представить в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акта проверки, оформленные в письменной форме возражения в отношении акта проверки в целом или его отдельных положений.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Возражения, указанные в пункте 3 раздела VI настоящего положения, рассматриваются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VII. Меры, принимаемые по результатам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При выявлении нарушений трудового законодательства в подведомственной организации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устранением выявленных нарушений.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В случае если нарушения, выявленные при проведении проверки, не устранены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в акте,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32E2C" w:rsidRPr="00986426" w:rsidRDefault="00C32E2C" w:rsidP="009864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426">
        <w:rPr>
          <w:rFonts w:ascii="Times New Roman" w:eastAsia="Times New Roman" w:hAnsi="Times New Roman" w:cs="Times New Roman"/>
          <w:bCs/>
          <w:sz w:val="28"/>
          <w:szCs w:val="28"/>
        </w:rPr>
        <w:t>VIII. Учет мероприятий по контролю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C32E2C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учет проверок, проводимых в подведомственных организациях, посредством ведения журнала учета проверок, проводимых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положением, по форме согласно пр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иложению 4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Журнал учета, должен быть прошит, пронумерован, скреплен подписью и заверен печатью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E2C" w:rsidRDefault="00C32E2C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ежегодно до 01 марта года, следующего за отчетным, представляет информацию о проведенных проверках и выявленных нарушениях трудового законодательств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а по форме согласно приложению 5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и размещает на официальном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</w:t>
      </w:r>
      <w:r w:rsidR="00A569DF">
        <w:rPr>
          <w:rFonts w:ascii="Times New Roman" w:eastAsia="Times New Roman" w:hAnsi="Times New Roman" w:cs="Times New Roman"/>
          <w:sz w:val="28"/>
          <w:szCs w:val="28"/>
        </w:rPr>
        <w:t>муникационной сети "Интернет".</w:t>
      </w:r>
      <w:proofErr w:type="gramEnd"/>
    </w:p>
    <w:p w:rsidR="00A569DF" w:rsidRDefault="00A569DF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Pr="00C32E2C" w:rsidRDefault="00986426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E2C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</w:t>
      </w:r>
      <w:r w:rsidR="00A569DF">
        <w:rPr>
          <w:rFonts w:ascii="Times New Roman" w:eastAsia="Times New Roman" w:hAnsi="Times New Roman" w:cs="Times New Roman"/>
          <w:sz w:val="28"/>
          <w:szCs w:val="28"/>
        </w:rPr>
        <w:t xml:space="preserve">ого района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B354C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Pr="00C32E2C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A569DF" w:rsidRPr="00A273C8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Маякского сельского поселения Отрадненского района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 № _______</w:t>
      </w:r>
    </w:p>
    <w:p w:rsidR="001867C0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1867C0">
        <w:rPr>
          <w:rFonts w:ascii="Times New Roman" w:eastAsia="Times New Roman" w:hAnsi="Times New Roman" w:cs="Times New Roman"/>
          <w:bCs/>
          <w:sz w:val="28"/>
          <w:szCs w:val="28"/>
        </w:rPr>
        <w:t>организациях, подведомственных 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20__ год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430"/>
        <w:gridCol w:w="1932"/>
        <w:gridCol w:w="1385"/>
        <w:gridCol w:w="1363"/>
        <w:gridCol w:w="1663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67C0" w:rsidRDefault="001867C0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</w:t>
      </w:r>
      <w:r w:rsidR="00A569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B354C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9DF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A569DF" w:rsidRPr="00A273C8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Маякского сельского поселения Отрадненского района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 № _______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C32E2C" w:rsidP="00A569D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Коллективный договор.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Правила внутреннего трудового распорядка.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Штатное расписание.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График отпусков.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6. Трудовые договоры, журнал регистрации трудовых договоров и изменений к ним.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9. Приказы по личному составу (о приеме, увольнении, переводе и т.д.).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10. Приказы об отпусках, командировках.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11. Приказы по основной 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12. Журналы регистрации приказов.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13. Табель учета рабочего времени.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14. Платежные документы.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15. Ведомости на выдачу заработной платы.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16. Расчетные листки.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18. Договоры о материальной ответственности.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19. Положение об аттестации, приказ о создании аттестационной комиссии, отзывы, аттестационные листы.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20. Иные локальные нормативные акты и документы, необходимые для проведения п</w:t>
      </w:r>
      <w:r w:rsidR="00A569DF">
        <w:rPr>
          <w:rFonts w:ascii="Times New Roman" w:eastAsia="Times New Roman" w:hAnsi="Times New Roman" w:cs="Times New Roman"/>
          <w:sz w:val="28"/>
          <w:szCs w:val="28"/>
        </w:rPr>
        <w:t>олной и всесторонней проверки.</w:t>
      </w:r>
      <w:r w:rsidR="00A569D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69DF" w:rsidRPr="00C32E2C" w:rsidRDefault="00A569DF" w:rsidP="00A569D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Default="00BF0033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о. главы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1867C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7C0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</w:t>
      </w:r>
      <w:r w:rsidR="00A569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B354C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</w:p>
    <w:p w:rsidR="00A569DF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A569DF" w:rsidRPr="00A273C8" w:rsidRDefault="00A569DF" w:rsidP="00A569DF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Маякского сельского поселения Отрадненского района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 № _______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1867C0" w:rsidRDefault="00C32E2C" w:rsidP="001867C0">
      <w:pPr>
        <w:spacing w:after="0" w:line="240" w:lineRule="auto"/>
        <w:ind w:left="482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867C0"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1867C0" w:rsidRP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_________/_____________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"___" ___________ 20___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_________________________ "____" ___________ 20__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(место составления акта)       (дата составления акта)    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________________________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(время составления акта)</w:t>
      </w:r>
    </w:p>
    <w:p w:rsidR="00C32E2C" w:rsidRPr="001867C0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Акт проверки N 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адресу/адресам: 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(место проведения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На основании: 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(вид документа с указанием реквизитов (номер, дата))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была проведена ________________________________ проверка в отношении: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(плановая/внеплановая)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(наименование подведомственной организации, фамилия, имя, отчество</w:t>
      </w:r>
      <w:proofErr w:type="gramEnd"/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и должность руководителя)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Дата и время проведения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"_" ___ 20_ г. с _ час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__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"__" __ 20_ г. с __ час. _ мин.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(рабочих дней/часов)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Акт составлен:__________________________________________________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отчество, должность должностного лица органа (структурного подразделения)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копией распоряжения о проведении проверки ознакомле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ы):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(фамилии, инициалы, подпись, дата, время)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Лицо (а), проводившее проверку:______________________________________ 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(фамилия, имя, отчество, должность должн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остного лица (должностных лиц)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проводившег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их) проверку)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При проведении проверки присутствовали: 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 и должность руководителя или уполномоченного</w:t>
      </w:r>
      <w:proofErr w:type="gramEnd"/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им должностного лица, присутствовавшего при проведении мероприятий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проверке)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проведения проверки__________________________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Если в ходе проверки нарушений не выявлено, в акте делается запись об их отсутствии)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Прилагаемые к акту документы: 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Подписи должностных лиц, проводивших проверку:______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>а), копию акта со всеми приложениями получил(а):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 руководителя подведомственной</w:t>
      </w:r>
      <w:proofErr w:type="gramEnd"/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организации или уполномоченного им должностного лица)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"___" ______________ 20__ г. 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Пометка об отказе ознакомления с актом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 должностного лица (лиц), уполномоченного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67C0" w:rsidRDefault="00BF0033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1867C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B354C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4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263"/>
        <w:gridCol w:w="722"/>
        <w:gridCol w:w="573"/>
        <w:gridCol w:w="792"/>
        <w:gridCol w:w="573"/>
        <w:gridCol w:w="792"/>
        <w:gridCol w:w="1032"/>
        <w:gridCol w:w="722"/>
        <w:gridCol w:w="1259"/>
        <w:gridCol w:w="1259"/>
      </w:tblGrid>
      <w:tr w:rsidR="00C32E2C" w:rsidRPr="00EB5844" w:rsidTr="00C32E2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 акта проверки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органа (структурного подразделения) Администрации </w:t>
            </w:r>
            <w:r w:rsidR="00BF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4C5">
              <w:rPr>
                <w:rFonts w:ascii="Times New Roman" w:eastAsia="Times New Roman" w:hAnsi="Times New Roman" w:cs="Times New Roman"/>
                <w:sz w:val="24"/>
                <w:szCs w:val="24"/>
              </w:rPr>
              <w:t>Маяк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руководителя органа (структурного подразделения) Администрации </w:t>
            </w:r>
            <w:r w:rsidR="00BF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4C5">
              <w:rPr>
                <w:rFonts w:ascii="Times New Roman" w:eastAsia="Times New Roman" w:hAnsi="Times New Roman" w:cs="Times New Roman"/>
                <w:sz w:val="24"/>
                <w:szCs w:val="24"/>
              </w:rPr>
              <w:t>Маяк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Е.В. </w:t>
      </w:r>
      <w:proofErr w:type="spellStart"/>
      <w:r w:rsidR="00B354C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69DF" w:rsidRDefault="00A569D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5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за _____________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100"/>
        <w:gridCol w:w="1563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 Общие сведения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Сведения о проверках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плановых (по основным вопросам трудового законодательства);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проверок проверены вопросы: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нарушений выявлено по вопросам: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трудовых договоров;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организации работ по охране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Сведения о мерах, принятых по результатам проверок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выявленных нарушений трудового законодательства: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не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 </w:t>
      </w:r>
      <w:r w:rsidR="00B354C5">
        <w:rPr>
          <w:rFonts w:ascii="Times New Roman" w:eastAsia="Times New Roman" w:hAnsi="Times New Roman" w:cs="Times New Roman"/>
          <w:sz w:val="28"/>
          <w:szCs w:val="28"/>
        </w:rPr>
        <w:t>Маяк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Е.В. </w:t>
      </w:r>
      <w:proofErr w:type="spellStart"/>
      <w:r w:rsidR="00B354C5">
        <w:rPr>
          <w:rFonts w:ascii="Times New Roman" w:eastAsia="Times New Roman" w:hAnsi="Times New Roman" w:cs="Times New Roman"/>
          <w:sz w:val="28"/>
          <w:szCs w:val="28"/>
        </w:rPr>
        <w:t>Полесская</w:t>
      </w:r>
      <w:proofErr w:type="spellEnd"/>
    </w:p>
    <w:p w:rsidR="000C7864" w:rsidRPr="00C32E2C" w:rsidRDefault="000C7864" w:rsidP="00C3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7864" w:rsidRPr="00C32E2C" w:rsidSect="00A569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2C"/>
    <w:rsid w:val="00084782"/>
    <w:rsid w:val="000C7864"/>
    <w:rsid w:val="001867C0"/>
    <w:rsid w:val="00574475"/>
    <w:rsid w:val="006B7170"/>
    <w:rsid w:val="00892753"/>
    <w:rsid w:val="00986426"/>
    <w:rsid w:val="00A273C8"/>
    <w:rsid w:val="00A3413B"/>
    <w:rsid w:val="00A569DF"/>
    <w:rsid w:val="00B354C5"/>
    <w:rsid w:val="00BF0033"/>
    <w:rsid w:val="00C32E2C"/>
    <w:rsid w:val="00EB5844"/>
    <w:rsid w:val="00F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2E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2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2E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2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27188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62718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DC1A-FAB8-4520-8B17-30DDFA23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GL_BUH</cp:lastModifiedBy>
  <cp:revision>3</cp:revision>
  <cp:lastPrinted>2022-04-05T12:33:00Z</cp:lastPrinted>
  <dcterms:created xsi:type="dcterms:W3CDTF">2022-04-05T12:32:00Z</dcterms:created>
  <dcterms:modified xsi:type="dcterms:W3CDTF">2022-04-05T12:35:00Z</dcterms:modified>
</cp:coreProperties>
</file>